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F2A" w:rsidRDefault="000F4E1A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11</w:t>
      </w:r>
    </w:p>
    <w:p w:rsidR="00177F2A" w:rsidRDefault="000F4E1A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дополнительному соглашению от 19.02.2026 № 1</w:t>
      </w:r>
    </w:p>
    <w:p w:rsidR="00177F2A" w:rsidRDefault="000F4E1A">
      <w:pPr>
        <w:pStyle w:val="ConsPlusNormal"/>
        <w:spacing w:line="283" w:lineRule="exact"/>
        <w:jc w:val="right"/>
      </w:pPr>
      <w:r>
        <w:rPr>
          <w:sz w:val="28"/>
          <w:szCs w:val="28"/>
        </w:rPr>
        <w:t>к тарифному соглашению в сфере ОМС</w:t>
      </w:r>
    </w:p>
    <w:p w:rsidR="00177F2A" w:rsidRDefault="000F4E1A">
      <w:pPr>
        <w:pStyle w:val="ConsPlusNormal"/>
        <w:spacing w:line="283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на территории Ставропольского края от 25.12.2025</w:t>
      </w:r>
    </w:p>
    <w:p w:rsidR="00177F2A" w:rsidRDefault="00177F2A">
      <w:pPr>
        <w:pStyle w:val="ConsPlusNormal"/>
        <w:spacing w:line="283" w:lineRule="exact"/>
        <w:rPr>
          <w:sz w:val="28"/>
          <w:szCs w:val="28"/>
        </w:rPr>
      </w:pPr>
    </w:p>
    <w:p w:rsidR="00177F2A" w:rsidRDefault="000F4E1A">
      <w:pPr>
        <w:pStyle w:val="ConsPlusNormal"/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 которые вносятся в Приложение 21 к тарифному соглашению</w:t>
      </w:r>
    </w:p>
    <w:p w:rsidR="00177F2A" w:rsidRDefault="000F4E1A">
      <w:pPr>
        <w:pStyle w:val="ConsPlusNormal"/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сфере обязательного медицинского страхования на территории Ставропольского края от 25 декабря 2025 года</w:t>
      </w:r>
    </w:p>
    <w:p w:rsidR="00177F2A" w:rsidRDefault="00177F2A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rPr>
          <w:sz w:val="28"/>
          <w:szCs w:val="28"/>
        </w:rPr>
      </w:pPr>
    </w:p>
    <w:p w:rsidR="00177F2A" w:rsidRDefault="000F4E1A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>Таблицу 2 изложить в следующей редакции:</w:t>
      </w:r>
    </w:p>
    <w:p w:rsidR="00177F2A" w:rsidRDefault="00177F2A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right"/>
      </w:pPr>
    </w:p>
    <w:p w:rsidR="00177F2A" w:rsidRDefault="00177F2A">
      <w:pPr>
        <w:pStyle w:val="ConsPlusNormal"/>
        <w:jc w:val="center"/>
        <w:outlineLvl w:val="0"/>
      </w:pPr>
    </w:p>
    <w:p w:rsidR="00177F2A" w:rsidRDefault="000F4E1A">
      <w:pPr>
        <w:pStyle w:val="ConsPlusNormal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«Таблица 2</w:t>
      </w:r>
    </w:p>
    <w:p w:rsidR="00177F2A" w:rsidRDefault="00177F2A">
      <w:pPr>
        <w:pStyle w:val="ConsPlusNormal"/>
        <w:jc w:val="both"/>
      </w:pPr>
    </w:p>
    <w:p w:rsidR="00177F2A" w:rsidRDefault="000F4E1A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КСГ,</w:t>
      </w:r>
    </w:p>
    <w:p w:rsidR="00177F2A" w:rsidRDefault="000F4E1A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случаев оказания медицинской помощи в условиях</w:t>
      </w:r>
    </w:p>
    <w:p w:rsidR="00177F2A" w:rsidRDefault="000F4E1A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дневного стационара предполагает хирургическое вмешательство</w:t>
      </w:r>
    </w:p>
    <w:p w:rsidR="00177F2A" w:rsidRDefault="000F4E1A">
      <w:pPr>
        <w:pStyle w:val="ConsPlusTitle"/>
        <w:spacing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либо выполнение тромболитической терапии</w:t>
      </w:r>
    </w:p>
    <w:p w:rsidR="00177F2A" w:rsidRDefault="00177F2A">
      <w:pPr>
        <w:pStyle w:val="ConsPlusNormal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16"/>
        <w:gridCol w:w="942"/>
        <w:gridCol w:w="1310"/>
        <w:gridCol w:w="7047"/>
      </w:tblGrid>
      <w:tr w:rsidR="00177F2A">
        <w:trPr>
          <w:trHeight w:val="300"/>
        </w:trPr>
        <w:tc>
          <w:tcPr>
            <w:tcW w:w="9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N стр.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N КСГ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Код КСГ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Наименование КСГ</w:t>
            </w:r>
          </w:p>
        </w:tc>
      </w:tr>
      <w:tr w:rsidR="00177F2A">
        <w:trPr>
          <w:trHeight w:val="300"/>
        </w:trPr>
        <w:tc>
          <w:tcPr>
            <w:tcW w:w="94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177F2A">
            <w:pPr>
              <w:pStyle w:val="ConsPlusNormal"/>
            </w:pP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ds02.006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CD2602.006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Искусственное прерывание беременности (аборт)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ds02.003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HD2602.003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женских половых органах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ds02.004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HD2602.004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женских половых органах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ds09.001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HD2609.001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мужских половых органах, дети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5.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ds09.002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HD2609.002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почке и мочевыделительной системе, дети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6.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ds10.001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HD2610.001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по поводу грыж, дети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7.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ds13.002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CD2613.002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Болезни системы кровообращения с применением инвазивных методов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8.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ds14.001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HD2614.001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кишечнике и анальной области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9.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ds14.002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HD2614.002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кишечнике и анальной области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10.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ds16.002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HD2616.002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периферической нервной системе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ds18.003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CD2618.003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Формирование, имплантация, удаление, смена доступа для диализа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ds19.016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OD2619.016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при злокачественных новообразованиях кожи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lastRenderedPageBreak/>
              <w:t>13.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ds19.017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OD2619.017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при злокачественн</w:t>
            </w:r>
            <w:bookmarkStart w:id="0" w:name="_GoBack"/>
            <w:bookmarkEnd w:id="0"/>
            <w:r>
              <w:rPr>
                <w:color w:val="000000"/>
              </w:rPr>
              <w:t>ых новообразованиях кожи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14.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ds19.028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OD2</w:t>
            </w:r>
            <w:r>
              <w:rPr>
                <w:color w:val="000000"/>
              </w:rPr>
              <w:t>619.028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15.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ds20.002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HD2620.002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16.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ds20.003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HD2620.003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17.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ds20.004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HD2620.004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слуха, придаточных пазухах носа и верхних дыхательных путях (уровень 3)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18.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ds20.005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HD2620.005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слуха</w:t>
            </w:r>
            <w:r>
              <w:rPr>
                <w:color w:val="000000"/>
              </w:rPr>
              <w:t>, придаточных пазухах носа и верхних дыхательных путях (уровень 4)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19.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ds20.006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CD2620.006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Замена речевого процессора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20.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ds21.002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HD2621.002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зрения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ds21.003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HD2621.003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зрения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ds21.004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HD2621.004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зрения (уровень 3)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ds21.005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HD2621.005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зрения (уровень 4)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24.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ds21.006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HD2621.006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зрения (уровень 5)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25.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ds21.007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HD2621.007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органе зрения (факоэмульсификация с имплантацией ИОЛ)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26.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ds21.008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HD2621.008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Интравитреальное введение лекарственных препаратов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27.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ds25.001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HD2625.001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Диагностическое обследование сердечно-сосудистой системы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28.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ds25.002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HD2625.002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сосудах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29.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ds25.003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HD2625.003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сосудах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30.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ds28.001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HD2628.001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нижних дыхательных путях и легочной ткани, органах средостения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ds29.001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HD2629.001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костно-мышечной системе и суст</w:t>
            </w:r>
            <w:r>
              <w:rPr>
                <w:color w:val="000000"/>
              </w:rPr>
              <w:t>авах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ds29.002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HD2629.002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костно-мышечной системе и суставах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ds29.003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HD2629.003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костно-мышечной системе и суставах (уровень 3)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34.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ds30.002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HD2630.002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мужских половых органах, взрослые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35.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ds30.003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HD2630.003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мужских половых органах, взрослые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lastRenderedPageBreak/>
              <w:t>36.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ds30.004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HD2630.004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почке и мочевыделительной системе, взрослые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37.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ds30.005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HD2630.005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почке и мочевыделительной системе, взрослые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38.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ds30.006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HD2630.006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почке и мочевыделительной системе, взрослые (уровень 3)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39.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ds31.002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HD2631.002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коже, подкожной клетчатке, придатках кожи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40.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ds31.003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HD2631.003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коже, подкожной клетчатке, придатках кожи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ds31.004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HD2631.004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коже, подкожной клетчатке, придатках кожи (уровень 3)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ds31.005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HD2631.005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органах кроветворения и иммунной системы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ds31.006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HD2631.006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молочной железе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44.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ds32.001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HD2632.001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пищеводе, желудке, двенадцатиперстной кишке (уровень 1)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45.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пищеводе, желудке, двенадцатиперстной кишке (уровень 2)</w:t>
            </w:r>
          </w:p>
        </w:tc>
      </w:tr>
      <w:tr w:rsidR="00177F2A">
        <w:trPr>
          <w:trHeight w:val="6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46.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по поводу грыж, взрослые (уровень 1)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47.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ds32.004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HD2632.004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по поводу грыж, взрослые (уровень 2)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48.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ds32.005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HD2632.005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по поводу грыж, взрослые (уровень 3)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49.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ds32.006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HD2632.006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желчном пузыре и желчевыводящих путях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50.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ds32.007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HD2632.007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Другие операции на органах брюшной полости (уровень 1)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51.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ds32.008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HD2632.008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Другие операции на органах брюшной полости (уровень 2)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52.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ds34.002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HD2634.002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органах полости рта (уровень 1)</w:t>
            </w:r>
          </w:p>
        </w:tc>
      </w:tr>
      <w:tr w:rsidR="00177F2A">
        <w:trPr>
          <w:trHeight w:val="3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  <w:jc w:val="center"/>
            </w:pPr>
            <w:r>
              <w:rPr>
                <w:color w:val="000000"/>
              </w:rPr>
              <w:t>53.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ds34.003</w:t>
            </w:r>
          </w:p>
        </w:tc>
        <w:tc>
          <w:tcPr>
            <w:tcW w:w="1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HD2634.003</w:t>
            </w:r>
          </w:p>
        </w:tc>
        <w:tc>
          <w:tcPr>
            <w:tcW w:w="73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7F2A" w:rsidRDefault="000F4E1A">
            <w:pPr>
              <w:pStyle w:val="ConsPlusNormal"/>
            </w:pPr>
            <w:r>
              <w:rPr>
                <w:color w:val="000000"/>
              </w:rPr>
              <w:t>Операции на органах полости рта (уровень 2)</w:t>
            </w:r>
          </w:p>
        </w:tc>
      </w:tr>
    </w:tbl>
    <w:p w:rsidR="00177F2A" w:rsidRDefault="000F4E1A">
      <w:pPr>
        <w:pStyle w:val="ConsPlusNormal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».</w:t>
      </w:r>
    </w:p>
    <w:p w:rsidR="00177F2A" w:rsidRDefault="00177F2A">
      <w:pPr>
        <w:pStyle w:val="ConsPlusNormal"/>
        <w:jc w:val="both"/>
      </w:pPr>
    </w:p>
    <w:p w:rsidR="00177F2A" w:rsidRDefault="00177F2A">
      <w:pPr>
        <w:pStyle w:val="ConsPlusNormal"/>
        <w:jc w:val="both"/>
      </w:pPr>
    </w:p>
    <w:p w:rsidR="00177F2A" w:rsidRDefault="00177F2A">
      <w:pPr>
        <w:pStyle w:val="ConsPlusNormal"/>
        <w:jc w:val="both"/>
      </w:pPr>
    </w:p>
    <w:p w:rsidR="00177F2A" w:rsidRDefault="00177F2A">
      <w:pPr>
        <w:pStyle w:val="ConsPlusNormal"/>
        <w:jc w:val="both"/>
      </w:pPr>
    </w:p>
    <w:sectPr w:rsidR="00177F2A" w:rsidSect="000F4E1A">
      <w:headerReference w:type="default" r:id="rId6"/>
      <w:headerReference w:type="first" r:id="rId7"/>
      <w:pgSz w:w="11906" w:h="16838"/>
      <w:pgMar w:top="1440" w:right="566" w:bottom="1440" w:left="1133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F2A" w:rsidRDefault="000F4E1A">
      <w:pPr>
        <w:pStyle w:val="ConsPlusNormal"/>
      </w:pPr>
      <w:r>
        <w:separator/>
      </w:r>
    </w:p>
  </w:endnote>
  <w:endnote w:type="continuationSeparator" w:id="0">
    <w:p w:rsidR="00177F2A" w:rsidRDefault="000F4E1A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F2A" w:rsidRDefault="000F4E1A">
      <w:pPr>
        <w:pStyle w:val="ConsPlusNormal"/>
      </w:pPr>
      <w:r>
        <w:separator/>
      </w:r>
    </w:p>
  </w:footnote>
  <w:footnote w:type="continuationSeparator" w:id="0">
    <w:p w:rsidR="00177F2A" w:rsidRDefault="000F4E1A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00237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F4E1A" w:rsidRDefault="000F4E1A">
        <w:pPr>
          <w:pStyle w:val="ab"/>
          <w:jc w:val="center"/>
        </w:pPr>
      </w:p>
      <w:p w:rsidR="000F4E1A" w:rsidRDefault="000F4E1A">
        <w:pPr>
          <w:pStyle w:val="ab"/>
          <w:jc w:val="center"/>
        </w:pPr>
      </w:p>
      <w:p w:rsidR="000F4E1A" w:rsidRPr="000F4E1A" w:rsidRDefault="000F4E1A">
        <w:pPr>
          <w:pStyle w:val="ab"/>
          <w:jc w:val="center"/>
          <w:rPr>
            <w:sz w:val="28"/>
            <w:szCs w:val="28"/>
          </w:rPr>
        </w:pPr>
        <w:r w:rsidRPr="000F4E1A">
          <w:rPr>
            <w:sz w:val="28"/>
            <w:szCs w:val="28"/>
          </w:rPr>
          <w:fldChar w:fldCharType="begin"/>
        </w:r>
        <w:r w:rsidRPr="000F4E1A">
          <w:rPr>
            <w:sz w:val="28"/>
            <w:szCs w:val="28"/>
          </w:rPr>
          <w:instrText>PAGE   \* MERGEFORMAT</w:instrText>
        </w:r>
        <w:r w:rsidRPr="000F4E1A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0F4E1A">
          <w:rPr>
            <w:sz w:val="28"/>
            <w:szCs w:val="28"/>
          </w:rPr>
          <w:fldChar w:fldCharType="end"/>
        </w:r>
      </w:p>
    </w:sdtContent>
  </w:sdt>
  <w:p w:rsidR="000F4E1A" w:rsidRPr="000F4E1A" w:rsidRDefault="000F4E1A" w:rsidP="000F4E1A">
    <w:pPr>
      <w:pStyle w:val="ab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7154990"/>
      <w:docPartObj>
        <w:docPartGallery w:val="Page Numbers (Top of Page)"/>
        <w:docPartUnique/>
      </w:docPartObj>
    </w:sdtPr>
    <w:sdtContent>
      <w:p w:rsidR="000F4E1A" w:rsidRDefault="000F4E1A">
        <w:pPr>
          <w:pStyle w:val="ab"/>
          <w:jc w:val="center"/>
        </w:pPr>
      </w:p>
      <w:p w:rsidR="000F4E1A" w:rsidRDefault="000F4E1A">
        <w:pPr>
          <w:pStyle w:val="ab"/>
          <w:jc w:val="center"/>
        </w:pPr>
      </w:p>
      <w:p w:rsidR="000F4E1A" w:rsidRDefault="000F4E1A">
        <w:pPr>
          <w:pStyle w:val="ab"/>
          <w:jc w:val="center"/>
        </w:pPr>
      </w:p>
    </w:sdtContent>
  </w:sdt>
  <w:p w:rsidR="000F4E1A" w:rsidRDefault="000F4E1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F2A"/>
    <w:rsid w:val="000F4E1A"/>
    <w:rsid w:val="0017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FB117-25E1-4904-9C87-ADD0A301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  <w:style w:type="paragraph" w:styleId="afb">
    <w:name w:val="Balloon Text"/>
    <w:basedOn w:val="a"/>
    <w:link w:val="afc"/>
    <w:uiPriority w:val="99"/>
    <w:semiHidden/>
    <w:unhideWhenUsed/>
    <w:rsid w:val="000F4E1A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0F4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"Тарифное соглашение в сфере обязательного медицинского страхования на территории Ставропольского края"
(заключено в г. Ставрополе 25.12.2025)
(вместе с "Перечнем основных терминов, понятий и сокращений, применяемых в настоящем тарифном соглашении", "Поря</vt:lpstr>
    </vt:vector>
  </TitlesOfParts>
  <Company>КонсультантПлюс Версия 4025.00.50</Company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25.12.2025)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амбулаторных, стационарных условиях, в условиях дневного стационара и </dc:title>
  <cp:lastModifiedBy>Матюшенко Екатерина Юрьевна</cp:lastModifiedBy>
  <cp:revision>8</cp:revision>
  <cp:lastPrinted>2026-02-25T10:19:00Z</cp:lastPrinted>
  <dcterms:created xsi:type="dcterms:W3CDTF">2026-02-18T06:15:00Z</dcterms:created>
  <dcterms:modified xsi:type="dcterms:W3CDTF">2026-02-25T10:19:00Z</dcterms:modified>
</cp:coreProperties>
</file>